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3A2BCB">
      <w:pPr>
        <w:spacing w:line="480" w:lineRule="auto"/>
        <w:ind w:firstLine="720"/>
        <w:jc w:val="center"/>
        <w:rPr>
          <w:rFonts w:ascii="Times New Roman" w:hAnsi="Times New Roman" w:cs="Times New Roman"/>
          <w:b/>
          <w:sz w:val="24"/>
          <w:szCs w:val="24"/>
          <w:shd w:val="clear" w:color="auto" w:fill="FFFFFF"/>
        </w:rPr>
      </w:pPr>
    </w:p>
    <w:p w:rsidR="003A2BCB" w:rsidP="003A2BCB">
      <w:pPr>
        <w:spacing w:line="480" w:lineRule="auto"/>
        <w:ind w:firstLine="720"/>
        <w:jc w:val="center"/>
        <w:rPr>
          <w:rFonts w:ascii="Times New Roman" w:hAnsi="Times New Roman" w:cs="Times New Roman"/>
          <w:b/>
          <w:sz w:val="24"/>
          <w:szCs w:val="24"/>
          <w:shd w:val="clear" w:color="auto" w:fill="FFFFFF"/>
        </w:rPr>
      </w:pPr>
    </w:p>
    <w:p w:rsidR="003A2BCB" w:rsidP="003A2BCB">
      <w:pPr>
        <w:spacing w:line="480" w:lineRule="auto"/>
        <w:ind w:firstLine="720"/>
        <w:jc w:val="center"/>
        <w:rPr>
          <w:rFonts w:ascii="Times New Roman" w:hAnsi="Times New Roman" w:cs="Times New Roman"/>
          <w:b/>
          <w:sz w:val="24"/>
          <w:szCs w:val="24"/>
          <w:shd w:val="clear" w:color="auto" w:fill="FFFFFF"/>
        </w:rPr>
      </w:pPr>
    </w:p>
    <w:p w:rsidR="003A2BCB" w:rsidRPr="003A2BCB" w:rsidP="003A2BCB">
      <w:pPr>
        <w:spacing w:line="480" w:lineRule="auto"/>
        <w:ind w:firstLine="720"/>
        <w:jc w:val="both"/>
        <w:rPr>
          <w:rFonts w:ascii="Times New Roman" w:hAnsi="Times New Roman" w:cs="Times New Roman"/>
          <w:sz w:val="24"/>
          <w:szCs w:val="24"/>
          <w:shd w:val="clear" w:color="auto" w:fill="FFFFFF"/>
        </w:rPr>
      </w:pPr>
    </w:p>
    <w:p w:rsidR="003A2BCB" w:rsidRPr="003A2BCB" w:rsidP="003A2BCB">
      <w:pPr>
        <w:spacing w:line="480" w:lineRule="auto"/>
        <w:ind w:firstLine="720"/>
        <w:jc w:val="center"/>
        <w:rPr>
          <w:rFonts w:ascii="Times New Roman" w:hAnsi="Times New Roman" w:cs="Times New Roman"/>
          <w:sz w:val="24"/>
          <w:szCs w:val="24"/>
          <w:shd w:val="clear" w:color="auto" w:fill="FFFFFF"/>
        </w:rPr>
      </w:pPr>
    </w:p>
    <w:p w:rsidR="003A2BCB" w:rsidRPr="003A2BCB" w:rsidP="003A2BCB">
      <w:pPr>
        <w:spacing w:line="480" w:lineRule="auto"/>
        <w:ind w:firstLine="720"/>
        <w:jc w:val="center"/>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Name</w:t>
      </w:r>
    </w:p>
    <w:p w:rsidR="003A2BCB" w:rsidRPr="003A2BCB" w:rsidP="003A2BCB">
      <w:pPr>
        <w:spacing w:line="480" w:lineRule="auto"/>
        <w:ind w:firstLine="720"/>
        <w:jc w:val="center"/>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Institution</w:t>
      </w:r>
    </w:p>
    <w:p w:rsidR="003A2BCB" w:rsidRPr="003A2BCB" w:rsidP="003A2BCB">
      <w:pPr>
        <w:spacing w:line="480" w:lineRule="auto"/>
        <w:ind w:firstLine="720"/>
        <w:jc w:val="center"/>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Course</w:t>
      </w:r>
    </w:p>
    <w:p w:rsidR="003A2BCB" w:rsidRPr="003A2BCB" w:rsidP="003A2BCB">
      <w:pPr>
        <w:spacing w:line="480" w:lineRule="auto"/>
        <w:ind w:firstLine="720"/>
        <w:jc w:val="center"/>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Instructor</w:t>
      </w:r>
    </w:p>
    <w:p w:rsidR="003A2BCB" w:rsidRPr="003A2BCB" w:rsidP="003A2BCB">
      <w:pPr>
        <w:spacing w:line="480" w:lineRule="auto"/>
        <w:ind w:firstLine="720"/>
        <w:jc w:val="center"/>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Date</w:t>
      </w:r>
    </w:p>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3A2BCB">
      <w:pPr>
        <w:spacing w:line="480" w:lineRule="auto"/>
        <w:ind w:firstLine="720"/>
        <w:jc w:val="both"/>
        <w:rPr>
          <w:rFonts w:ascii="Times New Roman" w:hAnsi="Times New Roman" w:cs="Times New Roman"/>
          <w:b/>
          <w:sz w:val="24"/>
          <w:szCs w:val="24"/>
          <w:shd w:val="clear" w:color="auto" w:fill="FFFFFF"/>
        </w:rPr>
      </w:pPr>
    </w:p>
    <w:p w:rsidR="003A2BCB" w:rsidP="007A0361">
      <w:pPr>
        <w:spacing w:line="480" w:lineRule="auto"/>
        <w:jc w:val="both"/>
        <w:rPr>
          <w:rFonts w:ascii="Times New Roman" w:hAnsi="Times New Roman" w:cs="Times New Roman"/>
          <w:b/>
          <w:sz w:val="24"/>
          <w:szCs w:val="24"/>
          <w:shd w:val="clear" w:color="auto" w:fill="FFFFFF"/>
        </w:rPr>
      </w:pPr>
    </w:p>
    <w:p w:rsidR="00D2247A" w:rsidRPr="003A2BCB" w:rsidP="003A2BCB">
      <w:pPr>
        <w:spacing w:line="480" w:lineRule="auto"/>
        <w:ind w:firstLine="720"/>
        <w:jc w:val="both"/>
        <w:rPr>
          <w:rFonts w:ascii="Times New Roman" w:hAnsi="Times New Roman" w:cs="Times New Roman"/>
          <w:b/>
          <w:sz w:val="24"/>
          <w:szCs w:val="24"/>
          <w:shd w:val="clear" w:color="auto" w:fill="FFFFFF"/>
        </w:rPr>
      </w:pPr>
      <w:r w:rsidRPr="003A2BCB">
        <w:rPr>
          <w:rFonts w:ascii="Times New Roman" w:hAnsi="Times New Roman" w:cs="Times New Roman"/>
          <w:b/>
          <w:sz w:val="24"/>
          <w:szCs w:val="24"/>
          <w:shd w:val="clear" w:color="auto" w:fill="FFFFFF"/>
        </w:rPr>
        <w:t>Mapp vs. Ohio</w:t>
      </w:r>
    </w:p>
    <w:p w:rsidR="009F6B58" w:rsidRPr="003A2BCB" w:rsidP="003A2BCB">
      <w:pPr>
        <w:spacing w:line="480" w:lineRule="auto"/>
        <w:ind w:firstLine="720"/>
        <w:jc w:val="both"/>
        <w:rPr>
          <w:rFonts w:ascii="Times New Roman" w:hAnsi="Times New Roman" w:cs="Times New Roman"/>
          <w:sz w:val="24"/>
          <w:szCs w:val="24"/>
        </w:rPr>
      </w:pPr>
      <w:r w:rsidRPr="003A2BCB">
        <w:rPr>
          <w:rFonts w:ascii="Times New Roman" w:hAnsi="Times New Roman" w:cs="Times New Roman"/>
          <w:sz w:val="24"/>
          <w:szCs w:val="24"/>
          <w:shd w:val="clear" w:color="auto" w:fill="FFFFFF"/>
        </w:rPr>
        <w:t xml:space="preserve">The Mapp vs. Ohio includes a case against Dollree Mapp by the police. The police reported forced their way into the home of the defendant in search of evidence without a warrant. The police were looking for evidence about a bombing suspect in the defendant's house which they did not find. </w:t>
      </w:r>
      <w:r w:rsidRPr="003A2BCB" w:rsidR="005C7782">
        <w:rPr>
          <w:rFonts w:ascii="Times New Roman" w:hAnsi="Times New Roman" w:cs="Times New Roman"/>
          <w:sz w:val="24"/>
          <w:szCs w:val="24"/>
          <w:shd w:val="clear" w:color="auto" w:fill="FFFFFF"/>
        </w:rPr>
        <w:t>As the police conducted the search without a warrant and failed to find the intended evidence, they, however, found different items like books and pictures</w:t>
      </w:r>
      <w:r w:rsidRPr="003A2BCB" w:rsidR="00D369C1">
        <w:rPr>
          <w:rFonts w:ascii="Times New Roman" w:hAnsi="Times New Roman" w:cs="Times New Roman"/>
          <w:sz w:val="24"/>
          <w:szCs w:val="24"/>
          <w:shd w:val="clear" w:color="auto" w:fill="FFFFFF"/>
        </w:rPr>
        <w:t xml:space="preserve"> of sexual activity with children </w:t>
      </w:r>
      <w:r w:rsidRPr="003A2BCB" w:rsidR="005C7782">
        <w:rPr>
          <w:rFonts w:ascii="Times New Roman" w:hAnsi="Times New Roman" w:cs="Times New Roman"/>
          <w:sz w:val="24"/>
          <w:szCs w:val="24"/>
          <w:shd w:val="clear" w:color="auto" w:fill="FFFFFF"/>
        </w:rPr>
        <w:t xml:space="preserve">which the </w:t>
      </w:r>
      <w:r w:rsidRPr="003A2BCB" w:rsidR="00D369C1">
        <w:rPr>
          <w:rFonts w:ascii="Times New Roman" w:hAnsi="Times New Roman" w:cs="Times New Roman"/>
          <w:sz w:val="24"/>
          <w:szCs w:val="24"/>
          <w:shd w:val="clear" w:color="auto" w:fill="FFFFFF"/>
        </w:rPr>
        <w:t xml:space="preserve">law of Ohio states does not allow one to possess. </w:t>
      </w:r>
      <w:r w:rsidRPr="003A2BCB" w:rsidR="003D7EA8">
        <w:rPr>
          <w:rFonts w:ascii="Times New Roman" w:hAnsi="Times New Roman" w:cs="Times New Roman"/>
          <w:sz w:val="24"/>
          <w:szCs w:val="24"/>
        </w:rPr>
        <w:t xml:space="preserve">The possession of these items meant that the defendant was breaking the Ohio state law and the police used the evidence obtained </w:t>
      </w:r>
      <w:r w:rsidRPr="003A2BCB" w:rsidR="001B3D47">
        <w:rPr>
          <w:rFonts w:ascii="Times New Roman" w:hAnsi="Times New Roman" w:cs="Times New Roman"/>
          <w:sz w:val="24"/>
          <w:szCs w:val="24"/>
        </w:rPr>
        <w:t>without a</w:t>
      </w:r>
      <w:r w:rsidRPr="003A2BCB" w:rsidR="00950893">
        <w:rPr>
          <w:rFonts w:ascii="Times New Roman" w:hAnsi="Times New Roman" w:cs="Times New Roman"/>
          <w:sz w:val="24"/>
          <w:szCs w:val="24"/>
        </w:rPr>
        <w:t xml:space="preserve"> </w:t>
      </w:r>
      <w:r w:rsidRPr="003A2BCB" w:rsidR="000C453C">
        <w:rPr>
          <w:rFonts w:ascii="Times New Roman" w:hAnsi="Times New Roman" w:cs="Times New Roman"/>
          <w:sz w:val="24"/>
          <w:szCs w:val="24"/>
        </w:rPr>
        <w:t>warrant to convict him in 1957 (</w:t>
      </w:r>
      <w:r w:rsidRPr="003A2BCB" w:rsidR="000C453C">
        <w:rPr>
          <w:rFonts w:ascii="Times New Roman" w:hAnsi="Times New Roman" w:cs="Times New Roman"/>
          <w:sz w:val="24"/>
          <w:szCs w:val="24"/>
          <w:shd w:val="clear" w:color="auto" w:fill="FFFFFF"/>
        </w:rPr>
        <w:t>Burns, 2016)</w:t>
      </w:r>
    </w:p>
    <w:p w:rsidR="00950893" w:rsidRPr="003A2BCB" w:rsidP="003A2BCB">
      <w:pPr>
        <w:spacing w:line="480" w:lineRule="auto"/>
        <w:ind w:firstLine="720"/>
        <w:jc w:val="both"/>
        <w:rPr>
          <w:rFonts w:ascii="Times New Roman" w:hAnsi="Times New Roman" w:cs="Times New Roman"/>
          <w:sz w:val="24"/>
          <w:szCs w:val="24"/>
        </w:rPr>
      </w:pPr>
      <w:r w:rsidRPr="003A2BCB">
        <w:rPr>
          <w:rFonts w:ascii="Times New Roman" w:hAnsi="Times New Roman" w:cs="Times New Roman"/>
          <w:sz w:val="24"/>
          <w:szCs w:val="24"/>
        </w:rPr>
        <w:t xml:space="preserve">In </w:t>
      </w:r>
      <w:r w:rsidRPr="003A2BCB" w:rsidR="001B3D47">
        <w:rPr>
          <w:rFonts w:ascii="Times New Roman" w:hAnsi="Times New Roman" w:cs="Times New Roman"/>
          <w:sz w:val="24"/>
          <w:szCs w:val="24"/>
        </w:rPr>
        <w:t>1961, following</w:t>
      </w:r>
      <w:r w:rsidRPr="003A2BCB">
        <w:rPr>
          <w:rFonts w:ascii="Times New Roman" w:hAnsi="Times New Roman" w:cs="Times New Roman"/>
          <w:sz w:val="24"/>
          <w:szCs w:val="24"/>
        </w:rPr>
        <w:t xml:space="preserve"> an appeal of the case at the </w:t>
      </w:r>
      <w:r w:rsidRPr="003A2BCB" w:rsidR="001B3D47">
        <w:rPr>
          <w:rFonts w:ascii="Times New Roman" w:hAnsi="Times New Roman" w:cs="Times New Roman"/>
          <w:sz w:val="24"/>
          <w:szCs w:val="24"/>
        </w:rPr>
        <w:t>Supreme Court</w:t>
      </w:r>
      <w:r w:rsidRPr="003A2BCB">
        <w:rPr>
          <w:rFonts w:ascii="Times New Roman" w:hAnsi="Times New Roman" w:cs="Times New Roman"/>
          <w:sz w:val="24"/>
          <w:szCs w:val="24"/>
        </w:rPr>
        <w:t xml:space="preserve">, the decision of the court to convict Mapp was overturned by the Supreme </w:t>
      </w:r>
      <w:r w:rsidRPr="003A2BCB" w:rsidR="001B3D47">
        <w:rPr>
          <w:rFonts w:ascii="Times New Roman" w:hAnsi="Times New Roman" w:cs="Times New Roman"/>
          <w:sz w:val="24"/>
          <w:szCs w:val="24"/>
        </w:rPr>
        <w:t>Court</w:t>
      </w:r>
      <w:r w:rsidRPr="003A2BCB">
        <w:rPr>
          <w:rFonts w:ascii="Times New Roman" w:hAnsi="Times New Roman" w:cs="Times New Roman"/>
          <w:sz w:val="24"/>
          <w:szCs w:val="24"/>
        </w:rPr>
        <w:t xml:space="preserve"> of the United S</w:t>
      </w:r>
      <w:r w:rsidRPr="003A2BCB" w:rsidR="00336BB1">
        <w:rPr>
          <w:rFonts w:ascii="Times New Roman" w:hAnsi="Times New Roman" w:cs="Times New Roman"/>
          <w:sz w:val="24"/>
          <w:szCs w:val="24"/>
        </w:rPr>
        <w:t xml:space="preserve">tates. The collection of the evidence used in the court case was termed as a process that violated the </w:t>
      </w:r>
      <w:r w:rsidRPr="003A2BCB" w:rsidR="00A80B8C">
        <w:rPr>
          <w:rFonts w:ascii="Times New Roman" w:hAnsi="Times New Roman" w:cs="Times New Roman"/>
          <w:sz w:val="24"/>
          <w:szCs w:val="24"/>
        </w:rPr>
        <w:t>United</w:t>
      </w:r>
      <w:r w:rsidRPr="003A2BCB" w:rsidR="00336BB1">
        <w:rPr>
          <w:rFonts w:ascii="Times New Roman" w:hAnsi="Times New Roman" w:cs="Times New Roman"/>
          <w:sz w:val="24"/>
          <w:szCs w:val="24"/>
        </w:rPr>
        <w:t xml:space="preserve"> States </w:t>
      </w:r>
      <w:r w:rsidRPr="003A2BCB" w:rsidR="00A80B8C">
        <w:rPr>
          <w:rFonts w:ascii="Times New Roman" w:hAnsi="Times New Roman" w:cs="Times New Roman"/>
          <w:sz w:val="24"/>
          <w:szCs w:val="24"/>
        </w:rPr>
        <w:t>constitution’s</w:t>
      </w:r>
      <w:r w:rsidRPr="003A2BCB" w:rsidR="00336BB1">
        <w:rPr>
          <w:rFonts w:ascii="Times New Roman" w:hAnsi="Times New Roman" w:cs="Times New Roman"/>
          <w:sz w:val="24"/>
          <w:szCs w:val="24"/>
        </w:rPr>
        <w:t xml:space="preserve"> fourth amendment</w:t>
      </w:r>
      <w:r w:rsidRPr="003A2BCB" w:rsidR="00A80B8C">
        <w:rPr>
          <w:rFonts w:ascii="Times New Roman" w:hAnsi="Times New Roman" w:cs="Times New Roman"/>
          <w:sz w:val="24"/>
          <w:szCs w:val="24"/>
        </w:rPr>
        <w:t xml:space="preserve">. The fourth amendment according to the </w:t>
      </w:r>
      <w:r w:rsidRPr="003A2BCB" w:rsidR="001B3D47">
        <w:rPr>
          <w:rFonts w:ascii="Times New Roman" w:hAnsi="Times New Roman" w:cs="Times New Roman"/>
          <w:sz w:val="24"/>
          <w:szCs w:val="24"/>
        </w:rPr>
        <w:t>Supreme Court</w:t>
      </w:r>
      <w:r w:rsidRPr="003A2BCB" w:rsidR="00A80B8C">
        <w:rPr>
          <w:rFonts w:ascii="Times New Roman" w:hAnsi="Times New Roman" w:cs="Times New Roman"/>
          <w:sz w:val="24"/>
          <w:szCs w:val="24"/>
        </w:rPr>
        <w:t xml:space="preserve"> prevented the police from conducting any searches and s</w:t>
      </w:r>
      <w:r w:rsidRPr="003A2BCB" w:rsidR="003A2BCB">
        <w:rPr>
          <w:rFonts w:ascii="Times New Roman" w:hAnsi="Times New Roman" w:cs="Times New Roman"/>
          <w:sz w:val="24"/>
          <w:szCs w:val="24"/>
        </w:rPr>
        <w:t>eizures which were unreasonable (</w:t>
      </w:r>
      <w:r w:rsidRPr="003A2BCB" w:rsidR="003A2BCB">
        <w:rPr>
          <w:rFonts w:ascii="Times New Roman" w:hAnsi="Times New Roman" w:cs="Times New Roman"/>
          <w:sz w:val="24"/>
          <w:szCs w:val="24"/>
          <w:shd w:val="clear" w:color="auto" w:fill="FFFFFF"/>
        </w:rPr>
        <w:t>Stewart, 2013).</w:t>
      </w:r>
      <w:r w:rsidRPr="003A2BCB" w:rsidR="00A80B8C">
        <w:rPr>
          <w:rFonts w:ascii="Times New Roman" w:hAnsi="Times New Roman" w:cs="Times New Roman"/>
          <w:sz w:val="24"/>
          <w:szCs w:val="24"/>
        </w:rPr>
        <w:t xml:space="preserve"> </w:t>
      </w:r>
      <w:r w:rsidRPr="003A2BCB" w:rsidR="00336BB1">
        <w:rPr>
          <w:rFonts w:ascii="Times New Roman" w:hAnsi="Times New Roman" w:cs="Times New Roman"/>
          <w:sz w:val="24"/>
          <w:szCs w:val="24"/>
        </w:rPr>
        <w:t xml:space="preserve"> </w:t>
      </w:r>
      <w:r w:rsidRPr="003A2BCB" w:rsidR="001B3D47">
        <w:rPr>
          <w:rFonts w:ascii="Times New Roman" w:hAnsi="Times New Roman" w:cs="Times New Roman"/>
          <w:sz w:val="24"/>
          <w:szCs w:val="24"/>
        </w:rPr>
        <w:t xml:space="preserve">It also included the exclusionary rule which forbids the use of any evidence obtained in an unconstitutional manner in federal courts. </w:t>
      </w:r>
      <w:r w:rsidRPr="003A2BCB" w:rsidR="00012FF2">
        <w:rPr>
          <w:rFonts w:ascii="Times New Roman" w:hAnsi="Times New Roman" w:cs="Times New Roman"/>
          <w:sz w:val="24"/>
          <w:szCs w:val="24"/>
        </w:rPr>
        <w:t xml:space="preserve">The </w:t>
      </w:r>
      <w:r w:rsidRPr="003A2BCB" w:rsidR="00B5290A">
        <w:rPr>
          <w:rFonts w:ascii="Times New Roman" w:hAnsi="Times New Roman" w:cs="Times New Roman"/>
          <w:sz w:val="24"/>
          <w:szCs w:val="24"/>
        </w:rPr>
        <w:t>Supreme Court</w:t>
      </w:r>
      <w:r w:rsidRPr="003A2BCB" w:rsidR="00012FF2">
        <w:rPr>
          <w:rFonts w:ascii="Times New Roman" w:hAnsi="Times New Roman" w:cs="Times New Roman"/>
          <w:sz w:val="24"/>
          <w:szCs w:val="24"/>
        </w:rPr>
        <w:t xml:space="preserve"> also held that the Bill of rights protects </w:t>
      </w:r>
      <w:r w:rsidRPr="003A2BCB" w:rsidR="00B5290A">
        <w:rPr>
          <w:rFonts w:ascii="Times New Roman" w:hAnsi="Times New Roman" w:cs="Times New Roman"/>
          <w:sz w:val="24"/>
          <w:szCs w:val="24"/>
        </w:rPr>
        <w:t xml:space="preserve">the citizens in the state against denial of life, liberty, and ownership of property without following the due process required by the law. Following these grounds, the supreme deemed the process of obtaining the evidence used in the conviction Dollree Mapp as a violation of the fourth amendment and it hence overturned his </w:t>
      </w:r>
      <w:r w:rsidRPr="003A2BCB" w:rsidR="0039384A">
        <w:rPr>
          <w:rFonts w:ascii="Times New Roman" w:hAnsi="Times New Roman" w:cs="Times New Roman"/>
          <w:sz w:val="24"/>
          <w:szCs w:val="24"/>
        </w:rPr>
        <w:t>conviction</w:t>
      </w:r>
      <w:r w:rsidRPr="003A2BCB" w:rsidR="003A2BCB">
        <w:rPr>
          <w:rFonts w:ascii="Times New Roman" w:hAnsi="Times New Roman" w:cs="Times New Roman"/>
          <w:sz w:val="24"/>
          <w:szCs w:val="24"/>
        </w:rPr>
        <w:t xml:space="preserve"> (</w:t>
      </w:r>
      <w:r w:rsidRPr="003A2BCB" w:rsidR="003A2BCB">
        <w:rPr>
          <w:rFonts w:ascii="Times New Roman" w:hAnsi="Times New Roman" w:cs="Times New Roman"/>
          <w:sz w:val="24"/>
          <w:szCs w:val="24"/>
          <w:shd w:val="clear" w:color="auto" w:fill="FFFFFF"/>
        </w:rPr>
        <w:t>Stewart, 2013).</w:t>
      </w:r>
    </w:p>
    <w:p w:rsidR="003A2BCB">
      <w:pPr>
        <w:rPr>
          <w:rFonts w:ascii="Times New Roman" w:hAnsi="Times New Roman" w:cs="Times New Roman"/>
          <w:b/>
          <w:sz w:val="24"/>
          <w:szCs w:val="24"/>
        </w:rPr>
      </w:pPr>
      <w:r>
        <w:rPr>
          <w:rFonts w:ascii="Times New Roman" w:hAnsi="Times New Roman" w:cs="Times New Roman"/>
          <w:b/>
          <w:sz w:val="24"/>
          <w:szCs w:val="24"/>
        </w:rPr>
        <w:br w:type="page"/>
      </w:r>
    </w:p>
    <w:p w:rsidR="000C453C" w:rsidRPr="003A2BCB" w:rsidP="003A2BCB">
      <w:pPr>
        <w:jc w:val="center"/>
        <w:rPr>
          <w:rFonts w:ascii="Times New Roman" w:hAnsi="Times New Roman" w:cs="Times New Roman"/>
          <w:b/>
          <w:sz w:val="24"/>
          <w:szCs w:val="24"/>
        </w:rPr>
      </w:pPr>
      <w:r w:rsidRPr="003A2BCB">
        <w:rPr>
          <w:rFonts w:ascii="Times New Roman" w:hAnsi="Times New Roman" w:cs="Times New Roman"/>
          <w:b/>
          <w:sz w:val="24"/>
          <w:szCs w:val="24"/>
        </w:rPr>
        <w:t>References</w:t>
      </w:r>
    </w:p>
    <w:p w:rsidR="003A2BCB" w:rsidRPr="003A2BCB" w:rsidP="003A2BCB">
      <w:pPr>
        <w:spacing w:line="480" w:lineRule="auto"/>
        <w:ind w:left="720" w:hanging="720"/>
        <w:jc w:val="both"/>
        <w:rPr>
          <w:rFonts w:ascii="Times New Roman" w:hAnsi="Times New Roman" w:cs="Times New Roman"/>
          <w:sz w:val="24"/>
          <w:szCs w:val="24"/>
          <w:shd w:val="clear" w:color="auto" w:fill="FFFFFF"/>
        </w:rPr>
      </w:pPr>
      <w:r w:rsidRPr="003A2BCB">
        <w:rPr>
          <w:rFonts w:ascii="Times New Roman" w:hAnsi="Times New Roman" w:cs="Times New Roman"/>
          <w:sz w:val="24"/>
          <w:szCs w:val="24"/>
          <w:shd w:val="clear" w:color="auto" w:fill="FFFFFF"/>
        </w:rPr>
        <w:t>Burns, R. E. (2016). Mapp v. Ohio: An All-American Mistake. </w:t>
      </w:r>
      <w:r w:rsidRPr="003A2BCB">
        <w:rPr>
          <w:rFonts w:ascii="Times New Roman" w:hAnsi="Times New Roman" w:cs="Times New Roman"/>
          <w:i/>
          <w:iCs/>
          <w:sz w:val="24"/>
          <w:szCs w:val="24"/>
          <w:shd w:val="clear" w:color="auto" w:fill="FFFFFF"/>
        </w:rPr>
        <w:t>DePaul L. Rev.</w:t>
      </w:r>
      <w:r w:rsidRPr="003A2BCB">
        <w:rPr>
          <w:rFonts w:ascii="Times New Roman" w:hAnsi="Times New Roman" w:cs="Times New Roman"/>
          <w:sz w:val="24"/>
          <w:szCs w:val="24"/>
          <w:shd w:val="clear" w:color="auto" w:fill="FFFFFF"/>
        </w:rPr>
        <w:t>, </w:t>
      </w:r>
      <w:r w:rsidRPr="003A2BCB">
        <w:rPr>
          <w:rFonts w:ascii="Times New Roman" w:hAnsi="Times New Roman" w:cs="Times New Roman"/>
          <w:i/>
          <w:iCs/>
          <w:sz w:val="24"/>
          <w:szCs w:val="24"/>
          <w:shd w:val="clear" w:color="auto" w:fill="FFFFFF"/>
        </w:rPr>
        <w:t>19</w:t>
      </w:r>
      <w:r w:rsidRPr="003A2BCB">
        <w:rPr>
          <w:rFonts w:ascii="Times New Roman" w:hAnsi="Times New Roman" w:cs="Times New Roman"/>
          <w:sz w:val="24"/>
          <w:szCs w:val="24"/>
          <w:shd w:val="clear" w:color="auto" w:fill="FFFFFF"/>
        </w:rPr>
        <w:t>, 80.</w:t>
      </w:r>
    </w:p>
    <w:p w:rsidR="003A2BCB" w:rsidRPr="003A2BCB" w:rsidP="003A2BCB">
      <w:pPr>
        <w:spacing w:line="480" w:lineRule="auto"/>
        <w:ind w:left="720" w:hanging="720"/>
        <w:jc w:val="both"/>
        <w:rPr>
          <w:rFonts w:ascii="Times New Roman" w:hAnsi="Times New Roman" w:cs="Times New Roman"/>
          <w:b/>
          <w:sz w:val="24"/>
          <w:szCs w:val="24"/>
        </w:rPr>
      </w:pPr>
      <w:r w:rsidRPr="003A2BCB">
        <w:rPr>
          <w:rFonts w:ascii="Times New Roman" w:hAnsi="Times New Roman" w:cs="Times New Roman"/>
          <w:sz w:val="24"/>
          <w:szCs w:val="24"/>
          <w:shd w:val="clear" w:color="auto" w:fill="FFFFFF"/>
        </w:rPr>
        <w:t xml:space="preserve">Stewart, P. (2013). The road to Mapp v. Ohio and beyond: the origins, development, and future of the exclusionary rule in search-and-seizure cases. </w:t>
      </w:r>
      <w:r w:rsidRPr="003A2BCB">
        <w:rPr>
          <w:rFonts w:ascii="Times New Roman" w:hAnsi="Times New Roman" w:cs="Times New Roman"/>
          <w:i/>
          <w:iCs/>
          <w:sz w:val="24"/>
          <w:szCs w:val="24"/>
          <w:shd w:val="clear" w:color="auto" w:fill="FFFFFF"/>
        </w:rPr>
        <w:t>Colum. L. Rev.</w:t>
      </w:r>
      <w:r w:rsidRPr="003A2BCB">
        <w:rPr>
          <w:rFonts w:ascii="Times New Roman" w:hAnsi="Times New Roman" w:cs="Times New Roman"/>
          <w:sz w:val="24"/>
          <w:szCs w:val="24"/>
          <w:shd w:val="clear" w:color="auto" w:fill="FFFFFF"/>
        </w:rPr>
        <w:t>, </w:t>
      </w:r>
      <w:r w:rsidRPr="003A2BCB">
        <w:rPr>
          <w:rFonts w:ascii="Times New Roman" w:hAnsi="Times New Roman" w:cs="Times New Roman"/>
          <w:i/>
          <w:iCs/>
          <w:sz w:val="24"/>
          <w:szCs w:val="24"/>
          <w:shd w:val="clear" w:color="auto" w:fill="FFFFFF"/>
        </w:rPr>
        <w:t>83</w:t>
      </w:r>
      <w:r w:rsidRPr="003A2BCB">
        <w:rPr>
          <w:rFonts w:ascii="Times New Roman" w:hAnsi="Times New Roman" w:cs="Times New Roman"/>
          <w:sz w:val="24"/>
          <w:szCs w:val="24"/>
          <w:shd w:val="clear" w:color="auto" w:fill="FFFFFF"/>
        </w:rPr>
        <w:t>, 1365</w:t>
      </w:r>
    </w:p>
    <w:sectPr w:rsidSect="003A2BC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74461"/>
      <w:docPartObj>
        <w:docPartGallery w:val="Page Numbers (Top of Page)"/>
        <w:docPartUnique/>
      </w:docPartObj>
    </w:sdtPr>
    <w:sdtContent>
      <w:p w:rsidR="003A2BCB">
        <w:pPr>
          <w:pStyle w:val="Header"/>
          <w:jc w:val="right"/>
        </w:pPr>
        <w:r w:rsidRPr="003A2BCB">
          <w:rPr>
            <w:rFonts w:ascii="Times New Roman" w:hAnsi="Times New Roman" w:cs="Times New Roman"/>
            <w:sz w:val="24"/>
            <w:szCs w:val="24"/>
            <w:shd w:val="clear" w:color="auto" w:fill="FFFFFF"/>
          </w:rPr>
          <w:t>MAPP VS. OHIO</w:t>
        </w:r>
        <w:r>
          <w:t xml:space="preserve">                  </w:t>
        </w:r>
        <w:r>
          <w:tab/>
        </w:r>
        <w:r>
          <w:tab/>
        </w:r>
        <w:r>
          <w:fldChar w:fldCharType="begin"/>
        </w:r>
        <w:r>
          <w:instrText xml:space="preserve"> PAGE   \* MERGEFORMAT </w:instrText>
        </w:r>
        <w:r>
          <w:fldChar w:fldCharType="separate"/>
        </w:r>
        <w:r w:rsidR="007A0361">
          <w:rPr>
            <w:noProof/>
          </w:rPr>
          <w:t>2</w:t>
        </w:r>
        <w:r w:rsidR="007A0361">
          <w:rPr>
            <w:noProof/>
          </w:rPr>
          <w:fldChar w:fldCharType="end"/>
        </w:r>
      </w:p>
    </w:sdtContent>
  </w:sdt>
  <w:p w:rsidR="003A2B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CB" w:rsidRPr="003A2BCB" w:rsidP="003A2BCB">
    <w:pPr>
      <w:spacing w:line="480" w:lineRule="auto"/>
      <w:ind w:firstLine="720"/>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w:t>
    </w:r>
    <w:r w:rsidRPr="003A2BCB">
      <w:rPr>
        <w:rFonts w:ascii="Times New Roman" w:hAnsi="Times New Roman" w:cs="Times New Roman"/>
        <w:sz w:val="24"/>
        <w:szCs w:val="24"/>
        <w:shd w:val="clear" w:color="auto" w:fill="FFFFFF"/>
      </w:rPr>
      <w:t>MAPP VS. OHIO</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drawingGridHorizontalSpacing w:val="110"/>
  <w:displayHorizontalDrawingGridEvery w:val="2"/>
  <w:characterSpacingControl w:val="doNotCompress"/>
  <w:compat/>
  <w:rsids>
    <w:rsidRoot w:val="00192C96"/>
    <w:rsid w:val="00012FF2"/>
    <w:rsid w:val="000C453C"/>
    <w:rsid w:val="00137553"/>
    <w:rsid w:val="00192C96"/>
    <w:rsid w:val="001B3D47"/>
    <w:rsid w:val="00336BB1"/>
    <w:rsid w:val="0039384A"/>
    <w:rsid w:val="003A2BCB"/>
    <w:rsid w:val="003D7EA8"/>
    <w:rsid w:val="00490E02"/>
    <w:rsid w:val="005C7782"/>
    <w:rsid w:val="007A0361"/>
    <w:rsid w:val="008019DF"/>
    <w:rsid w:val="00950893"/>
    <w:rsid w:val="009F6B58"/>
    <w:rsid w:val="00A80B8C"/>
    <w:rsid w:val="00B5290A"/>
    <w:rsid w:val="00CB7B4B"/>
    <w:rsid w:val="00D2247A"/>
    <w:rsid w:val="00D369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BCB"/>
  </w:style>
  <w:style w:type="paragraph" w:styleId="Footer">
    <w:name w:val="footer"/>
    <w:basedOn w:val="Normal"/>
    <w:link w:val="FooterChar"/>
    <w:uiPriority w:val="99"/>
    <w:semiHidden/>
    <w:unhideWhenUsed/>
    <w:rsid w:val="003A2B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2B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15</cp:revision>
  <dcterms:created xsi:type="dcterms:W3CDTF">2020-10-01T02:23:00Z</dcterms:created>
  <dcterms:modified xsi:type="dcterms:W3CDTF">2020-10-01T03:00:00Z</dcterms:modified>
</cp:coreProperties>
</file>